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rPr>
          <w:b/>
          <w:bCs/>
        </w:rPr>
        <w:t xml:space="preserve">Abstract</w:t>
      </w:r>
    </w:p>
    <w:p>
      <w:pPr>
        <w:pStyle w:val="FirstParagraph"/>
      </w:pPr>
      <w:r>
        <w:t xml:space="preserve">Geographical Indications (GIs) operate as coupled socio-ecological systems, where typicality emerges from dynamic interactions between soil, climate, and biota, requiring auditable mechanisms of environmental governance. This study analyzes the technical maturity of the state of the art in Machine Learning to operationalize Digital Terroir conceived as an Inferential Digital Twin for auditing ecosystem services.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The results reveal a generalization paradox: although classifiers achieve high accuracy</w:t>
      </w:r>
      <w:r>
        <w:t xml:space="preserve"> </w:t>
      </w:r>
      <w:r>
        <w:rPr>
          <w:i/>
          <w:iCs/>
        </w:rPr>
        <w:t xml:space="preserve">in vitro</w:t>
      </w:r>
      <w:r>
        <w:t xml:space="preserve"> </w:t>
      </w:r>
      <w:r>
        <w:t xml:space="preserve">(80–100%), external robustness tests expose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make regulatory application unfeasible. It is concluded that the implementation of Digital Terroir requires the transition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transcend their original function as intellectual property by emerging as strategic instruments for environmental governance and agrobiodiversity conservation in the Anthropocene (Vandecandelaere</w:t>
      </w:r>
      <w:r>
        <w:t xml:space="preserve"> </w:t>
      </w:r>
      <w:r>
        <w:rPr>
          <w:i/>
          <w:iCs/>
        </w:rPr>
        <w:t xml:space="preserve">et al.</w:t>
      </w:r>
      <w:r>
        <w:t xml:space="preserve">, 2009; Belletti, Marescotti, and Touzard, 2017). In a global scenario marked by the climate crisis and biodiversity erosion, GIs operate as socio-ecological systems that link product quality to the integrity of the territory’s ecosystem services (Berkes, Colding, and Folke, 2003; Bramley, Binabe, and Kirsten, 2013).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fingerprint of the product and climate resilience (Giovannucci</w:t>
      </w:r>
      <w:r>
        <w:t xml:space="preserve"> </w:t>
      </w:r>
      <w:r>
        <w:rPr>
          <w:i/>
          <w:iCs/>
        </w:rPr>
        <w:t xml:space="preserve">et al.</w:t>
      </w:r>
      <w:r>
        <w:t xml:space="preserve">, 2010; Fonzo and Russo, 2015).</w:t>
      </w:r>
    </w:p>
    <w:p>
      <w:pPr>
        <w:pStyle w:val="Corpodetexto"/>
      </w:pPr>
      <w:r>
        <w:t xml:space="preserve">International regulations, based on the TRIPS Agreement and Regulation (EU) No. 1151/2012, establish the legal basis, but it is the capacity for environmental auditing that gives these assets contemporary legitimacy (World Trade Organization, 1994; European Union, 2012).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 (Locatelli, 2008; World Intellectual Property Organization, 2020). The credibility of these labels therefore depends on the ability to scientifically prove that the characteristics of the product derive from specific and non-replicable environmental interactions.</w:t>
      </w:r>
    </w:p>
    <w:p>
      <w:pPr>
        <w:pStyle w:val="Corpodetexto"/>
      </w:pPr>
      <w:r>
        <w:t xml:space="preserve">Terroir can be understood as an intrinsically coupled socio-ecological system in which soil, climate, biota, and culture are linked through nonlinear interactions, feedbacks, and strong spatial and temporal heterogeneity, configuring a territory where biophysical processes and social practices are co-produced (Le Floc’h and Fontana, 2016).</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 (Gale and Nahm, 2023). Given the inadequacy of classical analytical tools for landscape-scale monitoring (Liao, Long, and Zhang, 2023),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 (Pylianidis, Osinga, and Athanasiadis, 2021; Hensel and Nasirahmadi, 2021; Guerena</w:t>
      </w:r>
      <w:r>
        <w:t xml:space="preserve"> </w:t>
      </w:r>
      <w:r>
        <w:rPr>
          <w:i/>
          <w:iCs/>
        </w:rPr>
        <w:t xml:space="preserve">et al.</w:t>
      </w:r>
      <w:r>
        <w:t xml:space="preserve">, 2024).</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 (Kshetri, 2014b; Wilkinson, 2021). In this context, Machine Learning acts as an intrinsic analytical mechanism to process the non-linearity of multiscale data, enabling the epistemic sovereignty of producing communities (Sousa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 (Kshetri, 2014a).</w:t>
      </w:r>
    </w:p>
    <w:p>
      <w:pPr>
        <w:pStyle w:val="Corpodetexto"/>
      </w:pPr>
      <w:r>
        <w:t xml:space="preserve">However, the literature lacks a unified conceptual framework that integrates the inferential capabilities of ML with the regulatory requirements of environmental certification. This gap limits the translation of methodological advances into operational protocols for Geographical Indication systems, perpetuating the fragmentation between academic research and territorial governance.</w:t>
      </w:r>
    </w:p>
    <w:p>
      <w:pPr>
        <w:pStyle w:val="Corpodetexto"/>
      </w:pPr>
      <w:r>
        <w:t xml:space="preserve">In this context, the present study analyzes the technical maturity of the state of the art in Machine Learning to operationalize the Digital Terroir conceived as an Inferential Digital Twin for auditing ecosystem services. It is postulated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follows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uses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r>
        <w:br/>
      </w: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Searches were directed to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Although the initial search was broad, the qualitative synthesis prioritized studies that established explicit links between analytical markers and environmental variables ( ,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rPr>
          <w:b/>
          <w:bCs/>
        </w:rPr>
        <w:t xml:space="preserve">2.3.1 Weighted Scoring Algorithm</w:t>
      </w:r>
    </w:p>
    <w:p>
      <w:pPr>
        <w:pStyle w:val="FirstParagraph"/>
      </w:pPr>
      <w:r>
        <w:t xml:space="preserve">Complementing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organizes the descriptors into five categories with different weights</w:t>
      </w:r>
      <w:r>
        <w:t xml:space="preserve"> </w:t>
      </w:r>
      <w:r>
        <w:t xml:space="preserve">(Saaty, 1991)</w:t>
      </w:r>
      <w:r>
        <w:t xml:space="preserve">.</w:t>
      </w:r>
      <w:r>
        <w:br/>
      </w:r>
      <w:r>
        <w:t xml:space="preserve">Si=j=1nwjlifij</w:t>
      </w:r>
      <w:r>
        <w:br/>
      </w:r>
      <w:r>
        <w:t xml:space="preserve">where:</w:t>
      </w:r>
      <w:r>
        <w:br/>
      </w:r>
      <w:r>
        <w:t xml:space="preserve">Si = total score of the article i</w:t>
      </w:r>
      <w:r>
        <w:br/>
      </w:r>
      <w:r>
        <w:t xml:space="preserve">wj = weight associated with the termj (categorized into 5 levels: 5, 3, 2, 1, or -5/-3/-2 points)</w:t>
      </w:r>
      <w:r>
        <w:br/>
      </w:r>
      <w:r>
        <w:t xml:space="preserve">li = location multiplier (1.5 for title, 1.2 for keywords, 1.0 for abstract)</w:t>
      </w:r>
      <w:r>
        <w:br/>
      </w:r>
      <w:r>
        <w:t xml:space="preserve">fij = frequency of occurrence of the termj in the article i</w:t>
      </w:r>
      <w:r>
        <w:br/>
      </w:r>
      <w:r>
        <w:t xml:space="preserve">n = total number of terms evaluated</w:t>
      </w:r>
      <w:r>
        <w:br/>
      </w: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rPr>
          <w:i/>
          <w:iCs/>
        </w:rPr>
        <w:t xml:space="preserve">, chemometrics, data mining</w:t>
      </w:r>
      <w:r>
        <w:t xml:space="preserve">), while context terms (1 point) indicate potential environments (e.g.,</w:t>
      </w:r>
      <w:r>
        <w:t xml:space="preserve"> </w:t>
      </w:r>
      <w:r>
        <w:rPr>
          <w:i/>
          <w:iCs/>
        </w:rPr>
        <w:t xml:space="preserve">regional products, certification</w:t>
      </w:r>
      <w:r>
        <w:t xml:space="preserve">). 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 (Munn</w:t>
      </w:r>
      <w:r>
        <w:t xml:space="preserve"> </w:t>
      </w:r>
      <w:r>
        <w:rPr>
          <w:i/>
          <w:iCs/>
        </w:rPr>
        <w:t xml:space="preserve">et al.</w:t>
      </w:r>
      <w:r>
        <w:t xml:space="preserve">, 2018; Tricco</w:t>
      </w:r>
      <w:r>
        <w:t xml:space="preserve"> </w:t>
      </w:r>
      <w:r>
        <w:rPr>
          <w:i/>
          <w:iCs/>
        </w:rPr>
        <w:t xml:space="preserve">et al.</w:t>
      </w:r>
      <w:r>
        <w:t xml:space="preserve">, 2018).</w:t>
      </w:r>
    </w:p>
    <w:bookmarkEnd w:id="30"/>
    <w:bookmarkStart w:id="31" w:name="algorithm-implementation-and-validation"/>
    <w:p>
      <w:pPr>
        <w:pStyle w:val="Ttulo3"/>
      </w:pPr>
      <w:r>
        <w:rPr>
          <w:b/>
          <w:bCs/>
        </w:rP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distribution of scores defined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rPr>
          <w:b/>
          <w:bCs/>
        </w:rPr>
        <w:t xml:space="preserve">2.3.3 Participatory Validation and Algorithm Refinement</w:t>
      </w:r>
    </w:p>
    <w:p>
      <w:pPr>
        <w:pStyle w:val="FirstParagraph"/>
      </w:pPr>
      <w:r>
        <w:t xml:space="preserve">To ensure scientific validity,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(Tricco, Lillie,</w:t>
      </w:r>
      <w:r>
        <w:t xml:space="preserve"> </w:t>
      </w:r>
      <w:r>
        <w:rPr>
          <w:i/>
          <w:iCs/>
        </w:rPr>
        <w:t xml:space="preserve">et al.</w:t>
      </w:r>
      <w:r>
        <w:t xml:space="preserve">, 2018).</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rPr>
          <w:b/>
          <w:bCs/>
        </w:rPr>
        <w:t xml:space="preserve">2.3.4 Coverage Verification and Automated Categorization</w:t>
      </w:r>
    </w:p>
    <w:p>
      <w:pPr>
        <w:pStyle w:val="FirstParagraph"/>
      </w:pPr>
      <w:r>
        <w:t xml:space="preserve">An automated system verified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&amp; Lone, 2019; Casey</w:t>
      </w:r>
      <w:r>
        <w:t xml:space="preserve"> </w:t>
      </w:r>
      <w:r>
        <w:rPr>
          <w:i/>
          <w:iCs/>
        </w:rPr>
        <w:t xml:space="preserve">et al.</w:t>
      </w:r>
      <w:r>
        <w:t xml:space="preserve">, 2021). References were classified into predefined methodological categories, including machine learning techniques and geographic information systems.</w:t>
      </w:r>
    </w:p>
    <w:p>
      <w:pPr>
        <w:pStyle w:val="Corpodetexto"/>
      </w:pPr>
      <w:r>
        <w:t xml:space="preserve">To quantify the comprehensiveness and adequacy of the studies, metrics of citation coverage and bibliographic utilization rates of the corpus were applied (Webster and Watson, 2002; Tranfield, Denyer, and Smart, 2003). These metrics allow for a quantitative assessment of the utilization of the reference base, ensuring that the selected studies adequately reflect the thematic scope of the review ( ).</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 (Pluye</w:t>
      </w:r>
      <w:r>
        <w:t xml:space="preserve"> </w:t>
      </w:r>
      <w:r>
        <w:rPr>
          <w:i/>
          <w:iCs/>
        </w:rPr>
        <w:t xml:space="preserve">et al.</w:t>
      </w:r>
      <w:r>
        <w:t xml:space="preserve">, 2009; Hong</w:t>
      </w:r>
      <w:r>
        <w:t xml:space="preserve"> </w:t>
      </w:r>
      <w:r>
        <w:rPr>
          <w:i/>
          <w:iCs/>
        </w:rPr>
        <w:t xml:space="preserve">et al.</w:t>
      </w:r>
      <w:r>
        <w:t xml:space="preserve">, 2018) 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r>
        <w:br/>
      </w: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 (Surname and Surname, 2025).</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rPr>
          <w:b/>
          <w:bCs/>
        </w:rP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 Shrout and Fleiss (1979), yielding a value of 0.87 (95% CI: 0.84–0.91), indicating good agreement.</w:t>
      </w:r>
    </w:p>
    <w:bookmarkEnd w:id="35"/>
    <w:bookmarkStart w:id="36" w:name="X038e4647e408e5b51afeb797a9d021cc0ddde9a"/>
    <w:p>
      <w:pPr>
        <w:pStyle w:val="Ttulo3"/>
      </w:pPr>
      <w:r>
        <w:rPr>
          <w:b/>
          <w:bCs/>
        </w:rP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 (Lotka, 1926) analyzed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w:r>
        <w:t xml:space="preserve">Pfinal=(0,40Qmet)+(0,35Qtem)+(0,25Qbiblio)</w:t>
      </w:r>
      <w:r>
        <w:br/>
      </w:r>
      <w:r>
        <w:t xml:space="preserve">Where:</w:t>
      </w:r>
      <w:r>
        <w:br/>
      </w:r>
      <w:r>
        <w:t xml:space="preserve">Pfinal = final selection score</w:t>
      </w:r>
      <w:r>
        <w:br/>
      </w:r>
      <w:r>
        <w:t xml:space="preserve">Qmet = normalized methodological quality (0-1)</w:t>
      </w:r>
      <w:r>
        <w:br/>
      </w:r>
      <w:r>
        <w:t xml:space="preserve">Qtem = normalized thematic relevance (0-1)</w:t>
      </w:r>
      <w:r>
        <w:br/>
      </w:r>
      <w:r>
        <w:t xml:space="preserve">Qbiblio =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was subjected to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rPr>
          <w:b/>
          <w:bCs/>
        </w:rPr>
        <w:t xml:space="preserve">2.7.1 Descriptive and Exploratory Analyses of the Corpus</w:t>
      </w:r>
    </w:p>
    <w:p>
      <w:pPr>
        <w:pStyle w:val="FirstParagraph"/>
      </w:pPr>
      <w:r>
        <w:t xml:space="preserve">Multiple Correspondence Analysis (MCA) (L-¬, Josse, and Husson, 2008; Greenacre, 2017) was used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r>
        <w:br/>
      </w:r>
      <w:r>
        <w:t xml:space="preserve">Network analysis (Cs-írdi and Nepusz, 2006; Schoch, 2020) was used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w:t>
      </w:r>
      <w:r>
        <w:t xml:space="preserve"> </w:t>
      </w:r>
      <w:r>
        <w:rPr>
          <w:i/>
          <w:iCs/>
        </w:rPr>
        <w:t xml:space="preserve">et al.</w:t>
      </w:r>
      <w:r>
        <w:t xml:space="preserve">, 2008) to identify technological modules and patterns of specialization by product-instrument-algorithm. Time series (2010–2025) used Spearman’s correlation (Spearman, 1904) to detect trends in publication volume and algorithm adoption.</w:t>
      </w:r>
    </w:p>
    <w:bookmarkEnd w:id="40"/>
    <w:bookmarkStart w:id="41" w:name="Xace2b413987b6902dd691a8b99df1da0d46e424"/>
    <w:p>
      <w:pPr>
        <w:pStyle w:val="Ttulo3"/>
      </w:pPr>
      <w:r>
        <w:rPr>
          <w:b/>
          <w:bCs/>
        </w:rP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(n=70 ) were compared to conventional random partitioning (n=78 ), calculating the percentage degradation in performance between internal validation and external tests. Differences were evaluated using Mann-Whitney U (Mann and Whitney, 1947), with effect size quantified by Cohen’sd</w:t>
      </w:r>
      <w:r>
        <w:t xml:space="preserve"> </w:t>
      </w:r>
      <w:r>
        <w:t xml:space="preserve">(Cohen, 1988)</w:t>
      </w:r>
      <w:r>
        <w:t xml:space="preserve">: small (d=0,2 ), medium (d=0,5 ), or large (d=0,8 ) according to</w:t>
      </w:r>
      <w:r>
        <w:t xml:space="preserve"> </w:t>
      </w:r>
      <w:r>
        <w:t xml:space="preserve">Sawilowsky (2009)</w:t>
      </w:r>
      <w:r>
        <w:t xml:space="preserve">. Logistic regression (Jr., Lemeshow, and Sturdivant, 2013) estimated the odds ratio of high- performance (acurácia85% ) as a function of spatial validation, controlling for algorithm and product, following Kuhn and Johnson (2013).</w:t>
      </w:r>
      <w:r>
        <w:br/>
      </w: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(n=20 ) and without XAI (n=128 ) were evaluated by Student’s t-test (t )</w:t>
      </w:r>
      <w:r>
        <w:t xml:space="preserve"> </w:t>
      </w:r>
      <w:r>
        <w:t xml:space="preserve">(Student, 1908)</w:t>
      </w:r>
      <w:r>
        <w:t xml:space="preserve">, verifying normality via Shapiro-Wilk (Shapiro and Wilk, 1965). Computational overhead was compared using Mann-Whitney. Pareto analysis (Pareto, 1896; Deb, 2001) identified optimal algorithms under weighted utility function:U=0,4acurácia+0,4explicabilidade+0,2×(1-tempo normalizado) .</w:t>
      </w:r>
    </w:p>
    <w:p>
      <w:pPr>
        <w:pStyle w:val="Corpodetexto"/>
      </w:pPr>
      <w:r>
        <w:t xml:space="preserve">In order to assess the accuracy reported in the studies and detect potential publication bias, a random effects meta-analysis (Borenstein</w:t>
      </w:r>
      <w:r>
        <w:t xml:space="preserve"> </w:t>
      </w:r>
      <w:r>
        <w:rPr>
          <w:i/>
          <w:iCs/>
        </w:rPr>
        <w:t xml:space="preserve">et al.</w:t>
      </w:r>
      <w:r>
        <w:t xml:space="preserve">, 2009) was conducted using the metafor package</w:t>
      </w:r>
      <w:r>
        <w:t xml:space="preserve"> </w:t>
      </w:r>
      <w:r>
        <w:t xml:space="preserve">(Viechtbauer, 2010)</w:t>
      </w:r>
      <w:r>
        <w:t xml:space="preserve">, transforming accuracies via logit to stabilize variances (Barendregt</w:t>
      </w:r>
      <w:r>
        <w:t xml:space="preserve"> </w:t>
      </w:r>
      <w:r>
        <w:rPr>
          <w:i/>
          <w:iCs/>
        </w:rPr>
        <w:t xml:space="preserve">et al.</w:t>
      </w:r>
      <w:r>
        <w:t xml:space="preserve">, 2013):logit(p)=ln[p/(1-p)] . Pooled accuracy was estimated by the REML model (DerSimonian and Laird, 1986) with 95% CI. Heterogeneity was quantified by theI2 statistic (Higgins</w:t>
      </w:r>
      <w:r>
        <w:t xml:space="preserve"> </w:t>
      </w:r>
      <w:r>
        <w:rPr>
          <w:i/>
          <w:iCs/>
        </w:rPr>
        <w:t xml:space="preserve">et al.</w:t>
      </w:r>
      <w:r>
        <w:t xml:space="preserve">, 2003): low (&lt;25% ), moderate (25% –75% ), or high (&gt;75% ). Cochran’s Q test (Cochran, 1954) assessed the significance of heterogeneity (=0,05 ). Meta-regression (Thompson and Higgins, 2002) investigated the effects of year of publication and sample size. Publication bias was detected by Egger’s test (Egger</w:t>
      </w:r>
      <w:r>
        <w:t xml:space="preserve"> </w:t>
      </w:r>
      <w:r>
        <w:rPr>
          <w:i/>
          <w:iCs/>
        </w:rPr>
        <w:t xml:space="preserve">et al.</w:t>
      </w:r>
      <w:r>
        <w:t xml:space="preserve">, 1997) and the trim-and-fill method (Duval and Tweedie, 2000). Stratified forest plots were generated following Balduzzi, Rücker, and Schwarzer (2019).</w:t>
      </w:r>
    </w:p>
    <w:p>
      <w:pPr>
        <w:pStyle w:val="Corpodetexto"/>
      </w:pPr>
      <w:r>
        <w:t xml:space="preserve">Finally, to assess compliance with open data governance principles, FAIR compliance was quantified using a standardized score (0–100 points) based on 12 binary indicators from Mark D. Wilkinson</w:t>
      </w:r>
      <w:r>
        <w:t xml:space="preserve"> </w:t>
      </w:r>
      <w:r>
        <w:rPr>
          <w:i/>
          <w:iCs/>
        </w:rPr>
        <w:t xml:space="preserve">et al.</w:t>
      </w:r>
      <w:r>
        <w:t xml:space="preserve"> </w:t>
      </w:r>
      <w:r>
        <w:t xml:space="preserve">(2016a): DOI (F1), rich metadata (F2), public repository (A1), access protocol (A2), license (R1.1), source code (R1.2), interoperable format (I1), controlled vocabulary (I2), provenance (R1.3), community standard (I3), accessible API (A1.1), and versioning (R1.2). Each indicator contributed t100/128,33 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 (European Commission, 2018).</w:t>
      </w:r>
    </w:p>
    <w:p>
      <w:pPr>
        <w:pStyle w:val="Corpodetexto"/>
      </w:pPr>
      <w:r>
        <w:t xml:space="preserve">All analyses were implemented in R (Team, 2024) 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 (Bonferroni, 1936) when relevant for multiple comparisons. Codes and processed data were deposited in the OSF repository (DOI: 10.17605/OSF.IO/2EKYQ) to ensure reproducibility (Nosek</w:t>
      </w:r>
      <w:r>
        <w:t xml:space="preserve"> </w:t>
      </w:r>
      <w:r>
        <w:rPr>
          <w:i/>
          <w:iCs/>
        </w:rPr>
        <w:t xml:space="preserve">et al.</w:t>
      </w:r>
      <w:r>
        <w:t xml:space="preserve">, 2015).</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was used in this review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 (Ofori-Boateng</w:t>
      </w:r>
      <w:r>
        <w:t xml:space="preserve"> </w:t>
      </w:r>
      <w:r>
        <w:rPr>
          <w:i/>
          <w:iCs/>
        </w:rPr>
        <w:t xml:space="preserve">et al.</w:t>
      </w:r>
      <w:r>
        <w:t xml:space="preserve">, 2024).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 (Streiner and Norman, 2008). This validation confirms that the studies selected for the synthesis meet rigorous methodological standards.</w:t>
      </w:r>
    </w:p>
    <w:bookmarkEnd w:id="47"/>
    <w:bookmarkEnd w:id="48"/>
    <w:bookmarkEnd w:id="49"/>
    <w:bookmarkStart w:id="106"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The analysis of 148 peer-reviewed studies (2010–2025) assesses the extent to which the current state of the art in machine learning applied to geographical indications meets the criteria of validation, transparency, data governance, and auditability proposed in Terroir Digital. The data showed that supervised learning algorithms were the predominant approach for origin authentication in Geographical Indication systems. Random Forest and Support Vector Machines have been widely applied in spectroscopy and chromatography for wines, meats, and teas, achieving accuracies of 80–100% in controlled environments (Xu</w:t>
      </w:r>
      <w:r>
        <w:t xml:space="preserve"> </w:t>
      </w:r>
      <w:r>
        <w:rPr>
          <w:i/>
          <w:iCs/>
        </w:rPr>
        <w:t xml:space="preserve">et al.</w:t>
      </w:r>
      <w:r>
        <w:t xml:space="preserve">, 2021; Mohammadi, Esteki, and Simal-Gandara, 2024).</w:t>
      </w:r>
      <w:r>
        <w:br/>
      </w:r>
      <w:r>
        <w:t xml:space="preserve">This predominance of supervised architectures over unsupervised methods reflects the availability of labeled datasets and the pressure for quantifiable accuracy metrics, as documented by Liakos</w:t>
      </w:r>
      <w:r>
        <w:t xml:space="preserve"> </w:t>
      </w:r>
      <w:r>
        <w:rPr>
          <w:i/>
          <w:iCs/>
        </w:rPr>
        <w:t xml:space="preserve">et al.</w:t>
      </w:r>
      <w:r>
        <w:t xml:space="preserve"> </w:t>
      </w:r>
      <w:r>
        <w:t xml:space="preserve">(2018) in an analysis of Machine Learning trends in precision agriculture. Convolutional neural networks have become established specifically for hyperspectral data processing, while PLS-DA has remained relevant in chemometric preprocessing (Rebiai</w:t>
      </w:r>
      <w:r>
        <w:t xml:space="preserve"> </w:t>
      </w:r>
      <w:r>
        <w:rPr>
          <w:i/>
          <w:iCs/>
        </w:rPr>
        <w:t xml:space="preserve">et al.</w:t>
      </w:r>
      <w:r>
        <w:t xml:space="preserve">, 2022; Peng</w:t>
      </w:r>
      <w:r>
        <w:t xml:space="preserve"> </w:t>
      </w:r>
      <w:r>
        <w:rPr>
          <w:i/>
          <w:iCs/>
        </w:rPr>
        <w:t xml:space="preserve">et al.</w:t>
      </w:r>
      <w:r>
        <w:t xml:space="preserve">, 2025; Feng</w:t>
      </w:r>
      <w:r>
        <w:t xml:space="preserve"> </w:t>
      </w:r>
      <w:r>
        <w:rPr>
          <w:i/>
          <w:iCs/>
        </w:rPr>
        <w:t xml:space="preserve">et al.</w:t>
      </w:r>
      <w:r>
        <w:t xml:space="preserve">, 2025), establishing an instrumental paradigm that favors high value-added products (wines, olive oils) over complex food matrices.</w:t>
      </w:r>
    </w:p>
    <w:p>
      <w:pPr>
        <w:pStyle w:val="Corpodetexto"/>
      </w:pPr>
      <w:r>
        <w:t xml:space="preserve">The geographic distribution of the studies analyzed shows an imbalance in sample representativeness,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and Marescotti, 2017).</w:t>
      </w:r>
    </w:p>
    <w:p>
      <w:pPr>
        <w:pStyle w:val="Corpodetexto"/>
      </w:pPr>
      <w:r>
        <w:t xml:space="preserve">The temporal analysis indicates a positive correlation between academic production and algorithmic complexity (Spearman’s = 0.89;p&lt;0,001 ),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(Iranzad and Liu, 2025).</w:t>
      </w:r>
    </w:p>
    <w:p>
      <w:pPr>
        <w:pStyle w:val="Corpodetexto"/>
      </w:pPr>
      <w:r>
        <w:t xml:space="preserve">Regarding spatial robustness, only 23% of the studies applied geographically independent validation, with accuracy decreases between 2% and 15% when the models are exposed to new data sets (Effrosynidis and Arampatzis, 2021). These results corroborate the hypothesis of overfitting to local contexts, as discussed by</w:t>
      </w:r>
      <w:r>
        <w:t xml:space="preserve"> </w:t>
      </w:r>
      <w:r>
        <w:t xml:space="preserve">Kuhn and Johnson (2013)</w:t>
      </w:r>
      <w:r>
        <w:t xml:space="preserve">. Additionally, the low implementation rate of explainability metrics (XAI), present in 14% of the studies, makes it difficult to comply with regulatory auditability requirements, since black-box models do not offer the decision traceability required by certification bodies (Lundberg and Lee, 2017).</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At the same time,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w:t>
      </w:r>
      <w:r>
        <w:t xml:space="preserve"> </w:t>
      </w:r>
      <w:r>
        <w:rPr>
          <w:i/>
          <w:iCs/>
        </w:rPr>
        <w:t xml:space="preserve">et al.</w:t>
      </w:r>
      <w:r>
        <w:t xml:space="preserve">, 2025).</w:t>
      </w:r>
    </w:p>
    <w:p>
      <w:pPr>
        <w:pStyle w:val="Corpodetexto"/>
      </w:pPr>
      <w:r>
        <w:t xml:space="preserve">Network analysis confirms the formation of distinct methodological clusters (modularityQ=0,62 ),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(ρ = 0.615, p = 0.011), indicating systematic expansion after 2020 (Liakos</w:t>
      </w:r>
      <w:r>
        <w:t xml:space="preserve"> </w:t>
      </w:r>
      <w:r>
        <w:rPr>
          <w:i/>
          <w:iCs/>
        </w:rPr>
        <w:t xml:space="preserve">et al.</w:t>
      </w:r>
      <w:r>
        <w:t xml:space="preserve">,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(ρ = 0.788, p &lt; 0.001) and Random Forest (ρ = 0.677, p = 0.004).</w:t>
      </w:r>
    </w:p>
    <w:p>
      <w:pPr>
        <w:pStyle w:val="Corpodetexto"/>
      </w:pPr>
      <w:r>
        <w:t xml:space="preserve">Neural Networks were the most widely adopted technique in 2020–2025 (33 applications), followed by SVM (32) and Random Forest (21). Deep Learning and CNNs spread after 2022 specifically for hyperspectral data processing (Shah</w:t>
      </w:r>
      <w:r>
        <w:t xml:space="preserve"> </w:t>
      </w:r>
      <w:r>
        <w:rPr>
          <w:i/>
          <w:iCs/>
        </w:rPr>
        <w:t xml:space="preserve">et al.</w:t>
      </w:r>
      <w:r>
        <w:t xml:space="preserve">, 2019),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The current methodological fragmentation constitutes a structural obstacle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can be observed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 (Agiomyrgiannaki</w:t>
      </w:r>
      <w:r>
        <w:t xml:space="preserve"> </w:t>
      </w:r>
      <w:r>
        <w:rPr>
          <w:i/>
          <w:iCs/>
        </w:rPr>
        <w:t xml:space="preserve">et al.</w:t>
      </w:r>
      <w:r>
        <w:t xml:space="preserve">, 2023).</w:t>
      </w:r>
    </w:p>
    <w:p>
      <w:pPr>
        <w:pStyle w:val="Corpodetexto"/>
      </w:pPr>
      <w:r>
        <w:t xml:space="preserve">This pattern results from the cumulative sedimentation of protocols and publication routines, not from casual preferences (Spyros, Dais,</w:t>
      </w:r>
      <w:r>
        <w:t xml:space="preserve"> </w:t>
      </w:r>
      <w:r>
        <w:rPr>
          <w:i/>
          <w:iCs/>
        </w:rPr>
        <w:t xml:space="preserve">et al.</w:t>
      </w:r>
      <w:r>
        <w:t xml:space="preserve">, 2023; Agiomyrgiannaki</w:t>
      </w:r>
      <w:r>
        <w:t xml:space="preserve"> </w:t>
      </w:r>
      <w:r>
        <w:rPr>
          <w:i/>
          <w:iCs/>
        </w:rPr>
        <w:t xml:space="preserve">et al.</w:t>
      </w:r>
      <w:r>
        <w:t xml:space="preserve">, 2023). Co-occurrence networks reveal parameter retention in stable triads (Wines–Random Forest–NIR; Teas–SVM–GC-MS) with low exploratory entropy, blocking cross-inferential reuse (Blondel</w:t>
      </w:r>
      <w:r>
        <w:t xml:space="preserve"> </w:t>
      </w:r>
      <w:r>
        <w:rPr>
          <w:i/>
          <w:iCs/>
        </w:rPr>
        <w:t xml:space="preserve">et al.</w:t>
      </w:r>
      <w:r>
        <w:t xml:space="preserve">, 2008; Salam</w:t>
      </w:r>
      <w:r>
        <w:t xml:space="preserve"> </w:t>
      </w:r>
      <w:r>
        <w:rPr>
          <w:i/>
          <w:iCs/>
        </w:rPr>
        <w:t xml:space="preserve">et al.</w:t>
      </w:r>
      <w:r>
        <w:t xml:space="preserve">, 2021; Wang</w:t>
      </w:r>
      <w:r>
        <w:t xml:space="preserve"> </w:t>
      </w:r>
      <w:r>
        <w:rPr>
          <w:i/>
          <w:iCs/>
        </w:rPr>
        <w:t xml:space="preserve">et al.</w:t>
      </w:r>
      <w:r>
        <w:t xml:space="preserve">, 2025). In the Louvain community graph (Figure 4), modularity (Q=0,62 ) and internal densities (0.53–0.68) indicate intra-module coherence but an absence of intermediary nodes (high betweenness) capable of acting as bridges.</w:t>
      </w:r>
    </w:p>
    <w:p>
      <w:pPr>
        <w:pStyle w:val="Corpodetexto"/>
      </w:pPr>
      <w:r>
        <w:t xml:space="preserve">High-grade spectroscopic algorithms exhibit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w:t>
      </w:r>
      <w:r>
        <w:t xml:space="preserve"> </w:t>
      </w:r>
      <w:r>
        <w:rPr>
          <w:i/>
          <w:iCs/>
        </w:rPr>
        <w:t xml:space="preserve">et al.</w:t>
      </w:r>
      <w:r>
        <w:t xml:space="preserve">, 2021).</w:t>
      </w:r>
    </w:p>
    <w:p>
      <w:pPr>
        <w:pStyle w:val="Corpodetexto"/>
      </w:pPr>
      <w:r>
        <w:t xml:space="preserve">The absence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 (Effrosynidis and Arampatzis, 2021; Meena, Chakraborty, and Mitra, 2024) 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t xml:space="preserve">Q=0,62</w:t>
      </w:r>
      <w:r>
        <w:t xml:space="preserve"> </w:t>
      </w:r>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(U=2900,p&lt;0,001,d=0,948 ),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w:r>
        <w:t xml:space="preserve">p&lt;0,001 ,d=0,948 ). The dashed line indicates the acceptable degradation threshold (≤8%) proposed for Digital Terroir certification systems.n=148 studies.</w:t>
      </w:r>
    </w:p>
    <w:p>
      <w:pPr>
        <w:pStyle w:val="Corpodetexto"/>
      </w:pPr>
      <w:r>
        <w:t xml:space="preserve">Regarding transparency, only 13.5% of the studies adopted Explainable Artificial Intelligence (XAI) techniques. A moderate negative correlation was observed between explainability and accuracy (=-0,481,p&lt;0,001 ),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w:r>
        <w:t xml:space="preserve">=-0,481 ,p&lt;0,001 ), but the absolute cost is modest (~1.5 percentage points). XGBoost stands out as the algorithm with the best multi-criteria balance (Pareto score = 0.650, considering 93% accuracy, 6/10 explainability, and 12 min time).n=148 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(z=40,02,p&lt;0,001 ).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w:r>
        <w:t xml:space="preserve">I2=58% ) indicates substantial methodological variability between studies. Confidence intervals represent estimates of random effects (REML model).k=129 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(=0,235,p=0,379 ),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outlines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(U=2900, p&lt;0.001, d=0.948).</w:t>
      </w:r>
      <w:r>
        <w:br/>
      </w:r>
      <w:r>
        <w:t xml:space="preserve">This methodological flaw, driven by residual spatial autocorrelation, prevents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 (Kuhn and Johnson, 2013; Wadoux</w:t>
      </w:r>
      <w:r>
        <w:t xml:space="preserve"> </w:t>
      </w:r>
      <w:r>
        <w:rPr>
          <w:i/>
          <w:iCs/>
        </w:rPr>
        <w:t xml:space="preserve">et al.</w:t>
      </w:r>
      <w:r>
        <w:t xml:space="preserve">, 2021).</w:t>
      </w:r>
    </w:p>
    <w:p>
      <w:pPr>
        <w:pStyle w:val="Corpodetexto"/>
      </w:pPr>
      <w:r>
        <w:t xml:space="preserve">Simultaneously, regulatory auditability is undermined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(p=0,218 ), with the XGBoost algorithm emerging as the optimal solution (Pareto score=0,650 )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Additionally, technological maturity is distorted by publication bias. Correction via the trim-and-fill method, with the imputation of 42 missing studies ( ) (z=40,02 ), reduced pooled accuracy from ~91% to ~88%, revealing that the literature systematically overestimates the discriminative capacity of the models. This metric inflation, coupled with moderate methodological heterogeneity (I2=58% ), compromises risk calibration and aligns with the reproducibility crisis diagnosed by Kapoor and Narayanan (2023), where data leakage masks the true effectiveness of the tools.</w:t>
      </w:r>
    </w:p>
    <w:p>
      <w:pPr>
        <w:pStyle w:val="Corpodetexto"/>
      </w:pPr>
      <w:r>
        <w:t xml:space="preserve">Finally, the erosion of data governance perpetuates fundamental epistemic asymmetries. With a critical FAIR score of 34.2/100 and temporal stagnation in data openness (=0,235 ,p=0,379 ),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remedy these shortcomings and operationalize the Digital Terroir, we propose the mandatory adoption of Compliance Thresholds that require spatial post-validation accuracy85% and maximum external degradation8% (Etten</w:t>
      </w:r>
      <w:r>
        <w:t xml:space="preserve"> </w:t>
      </w:r>
      <w:r>
        <w:rPr>
          <w:i/>
          <w:iCs/>
        </w:rPr>
        <w:t xml:space="preserve">et al.</w:t>
      </w:r>
      <w:r>
        <w:t xml:space="preserve">, 2023), simultaneously conditioned on mandatory XAI explainability for critical territorial markers and FAIR compliance60/100 with deposition in interoperable repositories (Mark D. Wilkinson</w:t>
      </w:r>
      <w:r>
        <w:t xml:space="preserve"> </w:t>
      </w:r>
      <w:r>
        <w:rPr>
          <w:i/>
          <w:iCs/>
        </w:rPr>
        <w:t xml:space="preserve">et al.</w:t>
      </w:r>
      <w:r>
        <w:t xml:space="preserve">, 2016b).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 (World Bank, 2014; An</w:t>
      </w:r>
      <w:r>
        <w:t xml:space="preserve"> </w:t>
      </w:r>
      <w:r>
        <w:rPr>
          <w:i/>
          <w:iCs/>
        </w:rPr>
        <w:t xml:space="preserve">et al.</w:t>
      </w:r>
      <w:r>
        <w:t xml:space="preserve">, 2024).</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does not translate into robustness for environmental governance. The assumption of stationarity, implicit in the dominant methodology, constitutes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Tichava, 2020).</w:t>
      </w:r>
      <w:r>
        <w:br/>
      </w:r>
      <w:r>
        <w:t xml:space="preserve">This methodological omission prevents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 In this sense, the dynamic Digital Terroir presents itself as a solution, reconstructing systemic couplings between soil, climate, and biota.</w:t>
      </w:r>
    </w:p>
    <w:p>
      <w:pPr>
        <w:pStyle w:val="Corpodetexto"/>
      </w:pPr>
      <w:r>
        <w:t xml:space="preserve">As for temporal obsolescence, models calibrated in ideal time windows become blind to chemical drifts induced by extreme weather events, which can alter the composition of secondary metabolites by more than 20% between production cycles (Urvieta</w:t>
      </w:r>
      <w:r>
        <w:t xml:space="preserve"> </w:t>
      </w:r>
      <w:r>
        <w:rPr>
          <w:i/>
          <w:iCs/>
        </w:rPr>
        <w:t xml:space="preserve">et al.</w:t>
      </w:r>
      <w:r>
        <w:t xml:space="preserve">, 2021; Iranzad and Liu, 2025). By ignoring the nonlinearity and dynamic couplings between climate, soil, and biota, current systems degrade into static classifiers, unable to operate as Inferential Digital Twins in climate change scenarios (Kuhn and Johnson, 2013; Celette, Findeling, and Gary, 2016).</w:t>
      </w:r>
    </w:p>
    <w:p>
      <w:pPr>
        <w:pStyle w:val="Corpodetexto"/>
      </w:pPr>
      <w:r>
        <w:t xml:space="preserve">This epistemic fragility is exacerbated by computational opacity. Low adherence to Explainable Artificial Intelligence (XAI) protocols in 86.5% of cases generates “legally indefensible black boxes, as regulatory auditing requires traceable causal links, not blind correlations (Xu</w:t>
      </w:r>
      <w:r>
        <w:t xml:space="preserve"> </w:t>
      </w:r>
      <w:r>
        <w:rPr>
          <w:i/>
          <w:iCs/>
        </w:rPr>
        <w:t xml:space="preserve">et al.</w:t>
      </w:r>
      <w:r>
        <w:t xml:space="preserve">, 2021; He</w:t>
      </w:r>
      <w:r>
        <w:t xml:space="preserve"> </w:t>
      </w:r>
      <w:r>
        <w:rPr>
          <w:i/>
          <w:iCs/>
        </w:rPr>
        <w:t xml:space="preserve">et al.</w:t>
      </w:r>
      <w:r>
        <w:t xml:space="preserve">, 2024).</w:t>
      </w:r>
    </w:p>
    <w:p>
      <w:pPr>
        <w:pStyle w:val="Corpodetexto"/>
      </w:pPr>
      <w:r>
        <w:t xml:space="preserve">From a governance perspective,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(Mark D. Wilkinson</w:t>
      </w:r>
      <w:r>
        <w:t xml:space="preserve"> </w:t>
      </w:r>
      <w:r>
        <w:rPr>
          <w:i/>
          <w:iCs/>
        </w:rPr>
        <w:t xml:space="preserve">et al.</w:t>
      </w:r>
      <w:r>
        <w:t xml:space="preserve">, 2016b).</w:t>
      </w:r>
    </w:p>
    <w:p>
      <w:pPr>
        <w:pStyle w:val="Corpodetexto"/>
      </w:pPr>
      <w:r>
        <w:t xml:space="preserve">The operationalization of Digital Terroir does not lie in increasing accuracy, but in restructuring data governance to transform Geographical Indications from static labels 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w:t>
      </w:r>
      <w:r>
        <w:t xml:space="preserve"> </w:t>
      </w:r>
      <w:r>
        <w:rPr>
          <w:i/>
          <w:iCs/>
        </w:rPr>
        <w:t xml:space="preserve">et al.</w:t>
      </w:r>
      <w:r>
        <w:t xml:space="preserve"> </w:t>
      </w:r>
      <w:r>
        <w:t xml:space="preserve">(2021),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consolidates the understanding of Geographical Indications as coupled socio-ecological systems, whose typicality emerges from nonlinear interactions between edaphoclimatic variables and cultural practices. Critical analysis confirms that, although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is currently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should constitute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The realization of epistemic sovereignty requires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105" w:name="references"/>
    <w:p>
      <w:pPr>
        <w:pStyle w:val="Ttulo2"/>
      </w:pPr>
      <w:r>
        <w:t xml:space="preserve">References</w:t>
      </w:r>
    </w:p>
    <w:bookmarkStart w:id="104" w:name="refs"/>
    <w:bookmarkStart w:id="85"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85"/>
    <w:bookmarkStart w:id="86" w:name="ref-Kuhn2013"/>
    <w:p>
      <w:pPr>
        <w:pStyle w:val="Bibliografia"/>
      </w:pPr>
      <w:r>
        <w:t xml:space="preserve">Kuhn, M. and Johnson, K. (2013)</w:t>
      </w:r>
      <w:r>
        <w:t xml:space="preserve"> </w:t>
      </w:r>
      <w:r>
        <w:rPr>
          <w:i/>
          <w:iCs/>
        </w:rPr>
        <w:t xml:space="preserve">Applied predictive modeling</w:t>
      </w:r>
      <w:r>
        <w:t xml:space="preserve">. Springer.</w:t>
      </w:r>
    </w:p>
    <w:bookmarkEnd w:id="86"/>
    <w:bookmarkStart w:id="88"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87">
        <w:r>
          <w:rPr>
            <w:rStyle w:val="Hyperlink"/>
          </w:rPr>
          <w:t xml:space="preserve">https://doi.org/10.1007/s100219900037</w:t>
        </w:r>
      </w:hyperlink>
      <w:r>
        <w:t xml:space="preserve">.</w:t>
      </w:r>
    </w:p>
    <w:bookmarkEnd w:id="88"/>
    <w:bookmarkStart w:id="90"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89">
        <w:r>
          <w:rPr>
            <w:rStyle w:val="Hyperlink"/>
          </w:rPr>
          <w:t xml:space="preserve">https://doi.org/10.1038/s42256-019-0048-x</w:t>
        </w:r>
      </w:hyperlink>
      <w:r>
        <w:t xml:space="preserve">.</w:t>
      </w:r>
    </w:p>
    <w:bookmarkEnd w:id="90"/>
    <w:bookmarkStart w:id="91"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91"/>
    <w:bookmarkStart w:id="93"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92">
        <w:r>
          <w:rPr>
            <w:rStyle w:val="Hyperlink"/>
          </w:rPr>
          <w:t xml:space="preserve">https://doi.org/10.22237/jmasm/1257035100</w:t>
        </w:r>
      </w:hyperlink>
      <w:r>
        <w:t xml:space="preserve">.</w:t>
      </w:r>
    </w:p>
    <w:bookmarkEnd w:id="93"/>
    <w:bookmarkStart w:id="95"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94">
        <w:r>
          <w:rPr>
            <w:rStyle w:val="Hyperlink"/>
          </w:rPr>
          <w:t xml:space="preserve">https://doi.org/10.2307/1412159</w:t>
        </w:r>
      </w:hyperlink>
      <w:r>
        <w:t xml:space="preserve">.</w:t>
      </w:r>
    </w:p>
    <w:bookmarkEnd w:id="95"/>
    <w:bookmarkStart w:id="97"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96">
        <w:r>
          <w:rPr>
            <w:rStyle w:val="Hyperlink"/>
          </w:rPr>
          <w:t xml:space="preserve">https://doi.org/10.2307/2331554</w:t>
        </w:r>
      </w:hyperlink>
      <w:r>
        <w:t xml:space="preserve">.</w:t>
      </w:r>
    </w:p>
    <w:bookmarkEnd w:id="97"/>
    <w:bookmarkStart w:id="99"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98">
        <w:r>
          <w:rPr>
            <w:rStyle w:val="Hyperlink"/>
          </w:rPr>
          <w:t xml:space="preserve">https://doi.org/10.5281/zenodo.1480624</w:t>
        </w:r>
      </w:hyperlink>
      <w:r>
        <w:t xml:space="preserve">.</w:t>
      </w:r>
    </w:p>
    <w:bookmarkEnd w:id="99"/>
    <w:bookmarkStart w:id="101"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100">
        <w:r>
          <w:rPr>
            <w:rStyle w:val="Hyperlink"/>
          </w:rPr>
          <w:t xml:space="preserve">https://doi.org/10.18637/jss.v036.i03</w:t>
        </w:r>
      </w:hyperlink>
      <w:r>
        <w:t xml:space="preserve">.</w:t>
      </w:r>
    </w:p>
    <w:bookmarkEnd w:id="101"/>
    <w:bookmarkStart w:id="103"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102">
        <w:r>
          <w:rPr>
            <w:rStyle w:val="Hyperlink"/>
          </w:rPr>
          <w:t xml:space="preserve">https://ggplot2.tidyverse.org</w:t>
        </w:r>
      </w:hyperlink>
      <w:r>
        <w:t xml:space="preserve">.</w:t>
      </w:r>
    </w:p>
    <w:bookmarkEnd w:id="103"/>
    <w:bookmarkEnd w:id="104"/>
    <w:bookmarkEnd w:id="105"/>
    <w:bookmarkEnd w:id="106"/>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87" Target="https://doi.org/10.1007/s100219900037" TargetMode="External" /><Relationship Type="http://schemas.openxmlformats.org/officeDocument/2006/relationships/hyperlink" Id="rId89" Target="https://doi.org/10.1038/s42256-019-0048-x" TargetMode="External" /><Relationship Type="http://schemas.openxmlformats.org/officeDocument/2006/relationships/hyperlink" Id="rId82" Target="https://doi.org/10.17605/OSF.IO/2EKYQ" TargetMode="External" /><Relationship Type="http://schemas.openxmlformats.org/officeDocument/2006/relationships/hyperlink" Id="rId100" Target="https://doi.org/10.18637/jss.v036.i03" TargetMode="External" /><Relationship Type="http://schemas.openxmlformats.org/officeDocument/2006/relationships/hyperlink" Id="rId92" Target="https://doi.org/10.22237/jmasm/1257035100" TargetMode="External" /><Relationship Type="http://schemas.openxmlformats.org/officeDocument/2006/relationships/hyperlink" Id="rId94" Target="https://doi.org/10.2307/1412159" TargetMode="External" /><Relationship Type="http://schemas.openxmlformats.org/officeDocument/2006/relationships/hyperlink" Id="rId96" Target="https://doi.org/10.2307/2331554" TargetMode="External" /><Relationship Type="http://schemas.openxmlformats.org/officeDocument/2006/relationships/hyperlink" Id="rId98" Target="https://doi.org/10.5281/zenodo.1480624" TargetMode="External" /><Relationship Type="http://schemas.openxmlformats.org/officeDocument/2006/relationships/hyperlink" Id="rId102" Target="https://ggplot2.tidyverse.org"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1007/s100219900037" TargetMode="External" /><Relationship Type="http://schemas.openxmlformats.org/officeDocument/2006/relationships/hyperlink" Id="rId89" Target="https://doi.org/10.1038/s42256-019-0048-x" TargetMode="External" /><Relationship Type="http://schemas.openxmlformats.org/officeDocument/2006/relationships/hyperlink" Id="rId82" Target="https://doi.org/10.17605/OSF.IO/2EKYQ" TargetMode="External" /><Relationship Type="http://schemas.openxmlformats.org/officeDocument/2006/relationships/hyperlink" Id="rId100" Target="https://doi.org/10.18637/jss.v036.i03" TargetMode="External" /><Relationship Type="http://schemas.openxmlformats.org/officeDocument/2006/relationships/hyperlink" Id="rId92" Target="https://doi.org/10.22237/jmasm/1257035100" TargetMode="External" /><Relationship Type="http://schemas.openxmlformats.org/officeDocument/2006/relationships/hyperlink" Id="rId94" Target="https://doi.org/10.2307/1412159" TargetMode="External" /><Relationship Type="http://schemas.openxmlformats.org/officeDocument/2006/relationships/hyperlink" Id="rId96" Target="https://doi.org/10.2307/2331554" TargetMode="External" /><Relationship Type="http://schemas.openxmlformats.org/officeDocument/2006/relationships/hyperlink" Id="rId98" Target="https://doi.org/10.5281/zenodo.1480624" TargetMode="External" /><Relationship Type="http://schemas.openxmlformats.org/officeDocument/2006/relationships/hyperlink" Id="rId102" Target="https://ggplot2.tidyverse.org"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2025-11-30T18:54:46Z</dcterms:created>
  <dcterms:modified xsi:type="dcterms:W3CDTF">2025-11-30T18:54:46Z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